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DED3" w14:textId="730807AA" w:rsidR="008E745D" w:rsidRPr="00161F6D" w:rsidRDefault="002A0274" w:rsidP="00161F6D">
      <w:pPr>
        <w:spacing w:before="100" w:beforeAutospacing="1" w:after="100" w:afterAutospacing="1" w:line="240" w:lineRule="auto"/>
        <w:outlineLvl w:val="0"/>
        <w:rPr>
          <w:rFonts w:eastAsia="Times New Roman" w:cstheme="minorHAnsi"/>
          <w:b/>
          <w:bCs/>
          <w:color w:val="4472C4" w:themeColor="accent1"/>
          <w:kern w:val="36"/>
          <w:sz w:val="36"/>
          <w:szCs w:val="36"/>
          <w14:ligatures w14:val="none"/>
        </w:rPr>
      </w:pPr>
      <w:r w:rsidRPr="00161F6D">
        <w:rPr>
          <w:rFonts w:eastAsia="Times New Roman" w:cstheme="minorHAnsi"/>
          <w:b/>
          <w:bCs/>
          <w:color w:val="4472C4" w:themeColor="accent1"/>
          <w:kern w:val="36"/>
          <w:sz w:val="36"/>
          <w:szCs w:val="36"/>
          <w14:ligatures w14:val="none"/>
        </w:rPr>
        <w:t>Amendment to Fiscal Year</w:t>
      </w:r>
      <w:r w:rsidRPr="00161F6D">
        <w:rPr>
          <w:rFonts w:eastAsia="Times New Roman" w:cstheme="minorHAnsi"/>
          <w:b/>
          <w:bCs/>
          <w:color w:val="4472C4" w:themeColor="accent1"/>
          <w:kern w:val="36"/>
          <w:sz w:val="36"/>
          <w:szCs w:val="36"/>
          <w14:ligatures w14:val="none"/>
        </w:rPr>
        <w:noBreakHyphen/>
        <w:t>End</w:t>
      </w:r>
      <w:r w:rsidR="00155472">
        <w:rPr>
          <w:rFonts w:eastAsia="Times New Roman" w:cstheme="minorHAnsi"/>
          <w:b/>
          <w:bCs/>
          <w:color w:val="4472C4" w:themeColor="accent1"/>
          <w:kern w:val="36"/>
          <w:sz w:val="36"/>
          <w:szCs w:val="36"/>
          <w14:ligatures w14:val="none"/>
        </w:rPr>
        <w:t xml:space="preserve"> – Article 28</w:t>
      </w:r>
    </w:p>
    <w:p w14:paraId="00F6240A" w14:textId="77777777" w:rsidR="002A0274" w:rsidRPr="00161F6D" w:rsidRDefault="002A0274" w:rsidP="002A0274">
      <w:pPr>
        <w:spacing w:before="100" w:beforeAutospacing="1" w:after="100" w:afterAutospacing="1" w:line="240" w:lineRule="auto"/>
        <w:outlineLvl w:val="1"/>
        <w:rPr>
          <w:rFonts w:eastAsia="Times New Roman" w:cstheme="minorHAnsi"/>
          <w:b/>
          <w:bCs/>
          <w:color w:val="000000"/>
          <w:kern w:val="0"/>
          <w:sz w:val="32"/>
          <w:szCs w:val="32"/>
          <w14:ligatures w14:val="none"/>
        </w:rPr>
      </w:pPr>
      <w:r w:rsidRPr="00161F6D">
        <w:rPr>
          <w:rFonts w:eastAsia="Times New Roman" w:cstheme="minorHAnsi"/>
          <w:b/>
          <w:bCs/>
          <w:color w:val="000000"/>
          <w:kern w:val="0"/>
          <w:sz w:val="32"/>
          <w:szCs w:val="32"/>
          <w14:ligatures w14:val="none"/>
        </w:rPr>
        <w:t>Special Resolution – Change of Fiscal Year</w:t>
      </w:r>
      <w:r w:rsidRPr="00161F6D">
        <w:rPr>
          <w:rFonts w:eastAsia="Times New Roman" w:cstheme="minorHAnsi"/>
          <w:b/>
          <w:bCs/>
          <w:color w:val="000000"/>
          <w:kern w:val="0"/>
          <w:sz w:val="32"/>
          <w:szCs w:val="32"/>
          <w14:ligatures w14:val="none"/>
        </w:rPr>
        <w:noBreakHyphen/>
        <w:t>End</w:t>
      </w:r>
    </w:p>
    <w:p w14:paraId="7DD14FDF" w14:textId="77777777" w:rsidR="002A0274" w:rsidRPr="00161F6D" w:rsidRDefault="002A0274" w:rsidP="002A0274">
      <w:pPr>
        <w:spacing w:before="100" w:beforeAutospacing="1" w:after="100" w:afterAutospacing="1" w:line="240" w:lineRule="auto"/>
        <w:rPr>
          <w:rFonts w:eastAsia="Times New Roman" w:cstheme="minorHAnsi"/>
          <w:color w:val="000000"/>
          <w:kern w:val="0"/>
          <w14:ligatures w14:val="none"/>
        </w:rPr>
      </w:pPr>
      <w:r w:rsidRPr="00161F6D">
        <w:rPr>
          <w:rFonts w:eastAsia="Times New Roman" w:cstheme="minorHAnsi"/>
          <w:b/>
          <w:bCs/>
          <w:color w:val="000000"/>
          <w:kern w:val="0"/>
          <w14:ligatures w14:val="none"/>
        </w:rPr>
        <w:t>WHEREAS</w:t>
      </w:r>
      <w:r w:rsidRPr="00161F6D">
        <w:rPr>
          <w:rFonts w:eastAsia="Times New Roman" w:cstheme="minorHAnsi"/>
          <w:color w:val="000000"/>
          <w:kern w:val="0"/>
          <w14:ligatures w14:val="none"/>
        </w:rPr>
        <w:t> the bylaws of the Trout Lake Campers Association (“TLCA”) currently state that the fiscal year</w:t>
      </w:r>
      <w:r w:rsidRPr="00161F6D">
        <w:rPr>
          <w:rFonts w:eastAsia="Times New Roman" w:cstheme="minorHAnsi"/>
          <w:color w:val="000000"/>
          <w:kern w:val="0"/>
          <w14:ligatures w14:val="none"/>
        </w:rPr>
        <w:noBreakHyphen/>
        <w:t>end of the Corporation is December 31; and</w:t>
      </w:r>
    </w:p>
    <w:p w14:paraId="61F21FB6" w14:textId="77777777" w:rsidR="002A0274" w:rsidRPr="00161F6D" w:rsidRDefault="002A0274" w:rsidP="002A0274">
      <w:pPr>
        <w:spacing w:before="100" w:beforeAutospacing="1" w:after="100" w:afterAutospacing="1" w:line="240" w:lineRule="auto"/>
        <w:rPr>
          <w:rFonts w:eastAsia="Times New Roman" w:cstheme="minorHAnsi"/>
          <w:color w:val="000000"/>
          <w:kern w:val="0"/>
          <w14:ligatures w14:val="none"/>
        </w:rPr>
      </w:pPr>
      <w:r w:rsidRPr="00161F6D">
        <w:rPr>
          <w:rFonts w:eastAsia="Times New Roman" w:cstheme="minorHAnsi"/>
          <w:b/>
          <w:bCs/>
          <w:color w:val="000000"/>
          <w:kern w:val="0"/>
          <w14:ligatures w14:val="none"/>
        </w:rPr>
        <w:t>WHEREAS</w:t>
      </w:r>
      <w:r w:rsidRPr="00161F6D">
        <w:rPr>
          <w:rFonts w:eastAsia="Times New Roman" w:cstheme="minorHAnsi"/>
          <w:color w:val="000000"/>
          <w:kern w:val="0"/>
          <w14:ligatures w14:val="none"/>
        </w:rPr>
        <w:t> the Board has determined that changing the fiscal year</w:t>
      </w:r>
      <w:r w:rsidRPr="00161F6D">
        <w:rPr>
          <w:rFonts w:eastAsia="Times New Roman" w:cstheme="minorHAnsi"/>
          <w:color w:val="000000"/>
          <w:kern w:val="0"/>
          <w14:ligatures w14:val="none"/>
        </w:rPr>
        <w:noBreakHyphen/>
        <w:t>end to April 30 will better align financial reporting, operational planning, and AGM scheduling with the Association’s seasonal activities; and</w:t>
      </w:r>
    </w:p>
    <w:p w14:paraId="20B77E88" w14:textId="77777777" w:rsidR="002A0274" w:rsidRPr="00161F6D" w:rsidRDefault="002A0274" w:rsidP="002A0274">
      <w:pPr>
        <w:spacing w:before="100" w:beforeAutospacing="1" w:after="100" w:afterAutospacing="1" w:line="240" w:lineRule="auto"/>
        <w:rPr>
          <w:rFonts w:eastAsia="Times New Roman" w:cstheme="minorHAnsi"/>
          <w:color w:val="000000"/>
          <w:kern w:val="0"/>
          <w14:ligatures w14:val="none"/>
        </w:rPr>
      </w:pPr>
      <w:r w:rsidRPr="00161F6D">
        <w:rPr>
          <w:rFonts w:eastAsia="Times New Roman" w:cstheme="minorHAnsi"/>
          <w:b/>
          <w:bCs/>
          <w:color w:val="000000"/>
          <w:kern w:val="0"/>
          <w14:ligatures w14:val="none"/>
        </w:rPr>
        <w:t>WHEREAS</w:t>
      </w:r>
      <w:r w:rsidRPr="00161F6D">
        <w:rPr>
          <w:rFonts w:eastAsia="Times New Roman" w:cstheme="minorHAnsi"/>
          <w:color w:val="000000"/>
          <w:kern w:val="0"/>
          <w14:ligatures w14:val="none"/>
        </w:rPr>
        <w:t> a change to the fiscal year</w:t>
      </w:r>
      <w:r w:rsidRPr="00161F6D">
        <w:rPr>
          <w:rFonts w:eastAsia="Times New Roman" w:cstheme="minorHAnsi"/>
          <w:color w:val="000000"/>
          <w:kern w:val="0"/>
          <w14:ligatures w14:val="none"/>
        </w:rPr>
        <w:noBreakHyphen/>
        <w:t>end requires an amendment to the bylaws and approval by Special Resolution of the Members;</w:t>
      </w:r>
    </w:p>
    <w:p w14:paraId="3A7DF316" w14:textId="77777777" w:rsidR="002A0274" w:rsidRPr="00161F6D" w:rsidRDefault="002A0274" w:rsidP="002A0274">
      <w:pPr>
        <w:spacing w:before="100" w:beforeAutospacing="1" w:after="100" w:afterAutospacing="1" w:line="240" w:lineRule="auto"/>
        <w:rPr>
          <w:rFonts w:eastAsia="Times New Roman" w:cstheme="minorHAnsi"/>
          <w:color w:val="000000"/>
          <w:kern w:val="0"/>
          <w14:ligatures w14:val="none"/>
        </w:rPr>
      </w:pPr>
      <w:r w:rsidRPr="00161F6D">
        <w:rPr>
          <w:rFonts w:eastAsia="Times New Roman" w:cstheme="minorHAnsi"/>
          <w:b/>
          <w:bCs/>
          <w:color w:val="000000"/>
          <w:kern w:val="0"/>
          <w14:ligatures w14:val="none"/>
        </w:rPr>
        <w:t>BE IT RESOLVED THAT</w:t>
      </w:r>
      <w:r w:rsidRPr="00161F6D">
        <w:rPr>
          <w:rFonts w:eastAsia="Times New Roman" w:cstheme="minorHAnsi"/>
          <w:color w:val="000000"/>
          <w:kern w:val="0"/>
          <w14:ligatures w14:val="none"/>
        </w:rPr>
        <w:t> the bylaws of the Corporation be amended by repealing the existing provision establishing a December 31 fiscal year</w:t>
      </w:r>
      <w:r w:rsidRPr="00161F6D">
        <w:rPr>
          <w:rFonts w:eastAsia="Times New Roman" w:cstheme="minorHAnsi"/>
          <w:color w:val="000000"/>
          <w:kern w:val="0"/>
          <w14:ligatures w14:val="none"/>
        </w:rPr>
        <w:noBreakHyphen/>
        <w:t>end and replacing it with the following:</w:t>
      </w:r>
    </w:p>
    <w:p w14:paraId="0CE35801" w14:textId="77777777" w:rsidR="002A0274" w:rsidRPr="00161F6D" w:rsidRDefault="002A0274" w:rsidP="002A0274">
      <w:pPr>
        <w:spacing w:before="100" w:beforeAutospacing="1" w:after="100" w:afterAutospacing="1" w:line="240" w:lineRule="auto"/>
        <w:rPr>
          <w:rFonts w:eastAsia="Times New Roman" w:cstheme="minorHAnsi"/>
          <w:color w:val="000000"/>
          <w:kern w:val="0"/>
          <w14:ligatures w14:val="none"/>
        </w:rPr>
      </w:pPr>
      <w:r w:rsidRPr="00161F6D">
        <w:rPr>
          <w:rFonts w:eastAsia="Times New Roman" w:cstheme="minorHAnsi"/>
          <w:b/>
          <w:bCs/>
          <w:color w:val="000000"/>
          <w:kern w:val="0"/>
          <w14:ligatures w14:val="none"/>
        </w:rPr>
        <w:t>“The fiscal year of the Corporation shall end on April 30 of each year.”</w:t>
      </w:r>
    </w:p>
    <w:p w14:paraId="08B3DD02" w14:textId="77777777" w:rsidR="002A0274" w:rsidRPr="00161F6D" w:rsidRDefault="002A0274" w:rsidP="002A0274">
      <w:pPr>
        <w:spacing w:before="100" w:beforeAutospacing="1" w:after="100" w:afterAutospacing="1" w:line="240" w:lineRule="auto"/>
        <w:rPr>
          <w:rFonts w:eastAsia="Times New Roman" w:cstheme="minorHAnsi"/>
          <w:color w:val="000000"/>
          <w:kern w:val="0"/>
          <w14:ligatures w14:val="none"/>
        </w:rPr>
      </w:pPr>
      <w:r w:rsidRPr="00161F6D">
        <w:rPr>
          <w:rFonts w:eastAsia="Times New Roman" w:cstheme="minorHAnsi"/>
          <w:b/>
          <w:bCs/>
          <w:color w:val="000000"/>
          <w:kern w:val="0"/>
          <w14:ligatures w14:val="none"/>
        </w:rPr>
        <w:t>BE IT FURTHER RESOLVED THAT</w:t>
      </w:r>
      <w:r w:rsidRPr="00161F6D">
        <w:rPr>
          <w:rFonts w:eastAsia="Times New Roman" w:cstheme="minorHAnsi"/>
          <w:color w:val="000000"/>
          <w:kern w:val="0"/>
          <w14:ligatures w14:val="none"/>
        </w:rPr>
        <w:t> the Board is authorized to take all necessary steps to implement this change, including filing the amended bylaws with the Ontario government and notifying the Canada Revenue Agency of the new fiscal year</w:t>
      </w:r>
      <w:r w:rsidRPr="00161F6D">
        <w:rPr>
          <w:rFonts w:eastAsia="Times New Roman" w:cstheme="minorHAnsi"/>
          <w:color w:val="000000"/>
          <w:kern w:val="0"/>
          <w14:ligatures w14:val="none"/>
        </w:rPr>
        <w:noBreakHyphen/>
        <w:t>end.</w:t>
      </w:r>
    </w:p>
    <w:p w14:paraId="77324381" w14:textId="77777777" w:rsidR="002A0274" w:rsidRDefault="002A0274" w:rsidP="002A0274">
      <w:pPr>
        <w:spacing w:before="100" w:beforeAutospacing="1" w:after="100" w:afterAutospacing="1" w:line="240" w:lineRule="auto"/>
        <w:rPr>
          <w:rFonts w:eastAsia="Times New Roman" w:cstheme="minorHAnsi"/>
          <w:color w:val="000000"/>
          <w:kern w:val="0"/>
          <w14:ligatures w14:val="none"/>
        </w:rPr>
      </w:pPr>
      <w:r w:rsidRPr="00161F6D">
        <w:rPr>
          <w:rFonts w:eastAsia="Times New Roman" w:cstheme="minorHAnsi"/>
          <w:b/>
          <w:bCs/>
          <w:color w:val="000000"/>
          <w:kern w:val="0"/>
          <w14:ligatures w14:val="none"/>
        </w:rPr>
        <w:t>BE IT FURTHER RESOLVED THAT</w:t>
      </w:r>
      <w:r w:rsidRPr="00161F6D">
        <w:rPr>
          <w:rFonts w:eastAsia="Times New Roman" w:cstheme="minorHAnsi"/>
          <w:color w:val="000000"/>
          <w:kern w:val="0"/>
          <w14:ligatures w14:val="none"/>
        </w:rPr>
        <w:t> the transition period from the previous fiscal year</w:t>
      </w:r>
      <w:r w:rsidRPr="00161F6D">
        <w:rPr>
          <w:rFonts w:eastAsia="Times New Roman" w:cstheme="minorHAnsi"/>
          <w:color w:val="000000"/>
          <w:kern w:val="0"/>
          <w14:ligatures w14:val="none"/>
        </w:rPr>
        <w:noBreakHyphen/>
        <w:t>end to the new fiscal year</w:t>
      </w:r>
      <w:r w:rsidRPr="00161F6D">
        <w:rPr>
          <w:rFonts w:eastAsia="Times New Roman" w:cstheme="minorHAnsi"/>
          <w:color w:val="000000"/>
          <w:kern w:val="0"/>
          <w14:ligatures w14:val="none"/>
        </w:rPr>
        <w:noBreakHyphen/>
        <w:t>end shall be the period beginning January 1, 202</w:t>
      </w:r>
      <w:r w:rsidR="008E745D" w:rsidRPr="00161F6D">
        <w:rPr>
          <w:rFonts w:eastAsia="Times New Roman" w:cstheme="minorHAnsi"/>
          <w:color w:val="000000"/>
          <w:kern w:val="0"/>
          <w14:ligatures w14:val="none"/>
        </w:rPr>
        <w:t>7</w:t>
      </w:r>
      <w:r w:rsidRPr="00161F6D">
        <w:rPr>
          <w:rFonts w:eastAsia="Times New Roman" w:cstheme="minorHAnsi"/>
          <w:color w:val="000000"/>
          <w:kern w:val="0"/>
          <w14:ligatures w14:val="none"/>
        </w:rPr>
        <w:t xml:space="preserve"> and ending April 30, 202</w:t>
      </w:r>
      <w:r w:rsidR="008E745D" w:rsidRPr="00161F6D">
        <w:rPr>
          <w:rFonts w:eastAsia="Times New Roman" w:cstheme="minorHAnsi"/>
          <w:color w:val="000000"/>
          <w:kern w:val="0"/>
          <w14:ligatures w14:val="none"/>
        </w:rPr>
        <w:t>7</w:t>
      </w:r>
      <w:r w:rsidRPr="00161F6D">
        <w:rPr>
          <w:rFonts w:eastAsia="Times New Roman" w:cstheme="minorHAnsi"/>
          <w:color w:val="000000"/>
          <w:kern w:val="0"/>
          <w14:ligatures w14:val="none"/>
        </w:rPr>
        <w:t>, or such other transition period as may be required by law.</w:t>
      </w:r>
    </w:p>
    <w:p w14:paraId="6F907B25" w14:textId="47F6BFC2" w:rsidR="00266EB8" w:rsidRPr="00161F6D" w:rsidRDefault="00266EB8" w:rsidP="00266EB8">
      <w:pPr>
        <w:pStyle w:val="ListParagraph"/>
        <w:spacing w:after="0" w:line="240" w:lineRule="auto"/>
        <w:ind w:left="0"/>
        <w:rPr>
          <w:rFonts w:eastAsia="Times New Roman" w:cstheme="minorHAnsi"/>
          <w:color w:val="000000"/>
          <w:kern w:val="0"/>
          <w14:ligatures w14:val="none"/>
        </w:rPr>
      </w:pPr>
      <w:r w:rsidRPr="00F43FCD">
        <w:rPr>
          <w:rFonts w:eastAsia="Times New Roman" w:cstheme="minorHAnsi"/>
          <w:b/>
          <w:bCs/>
          <w:color w:val="000000"/>
          <w:kern w:val="0"/>
          <w14:ligatures w14:val="none"/>
        </w:rPr>
        <w:t>Effective Date</w:t>
      </w:r>
      <w:r w:rsidRPr="00F43FCD">
        <w:rPr>
          <w:rFonts w:eastAsia="Times New Roman" w:cstheme="minorHAnsi"/>
          <w:color w:val="000000"/>
          <w:kern w:val="0"/>
          <w14:ligatures w14:val="none"/>
        </w:rPr>
        <w:br/>
        <w:t>Th</w:t>
      </w:r>
      <w:r>
        <w:rPr>
          <w:rFonts w:eastAsia="Times New Roman" w:cstheme="minorHAnsi"/>
          <w:color w:val="000000"/>
          <w:kern w:val="0"/>
          <w14:ligatures w14:val="none"/>
        </w:rPr>
        <w:t>is</w:t>
      </w:r>
      <w:r w:rsidRPr="00F43FCD">
        <w:rPr>
          <w:rFonts w:eastAsia="Times New Roman" w:cstheme="minorHAnsi"/>
          <w:color w:val="000000"/>
          <w:kern w:val="0"/>
          <w14:ligatures w14:val="none"/>
        </w:rPr>
        <w:t xml:space="preserve"> amendment take</w:t>
      </w:r>
      <w:r>
        <w:rPr>
          <w:rFonts w:eastAsia="Times New Roman" w:cstheme="minorHAnsi"/>
          <w:color w:val="000000"/>
          <w:kern w:val="0"/>
          <w14:ligatures w14:val="none"/>
        </w:rPr>
        <w:t>s</w:t>
      </w:r>
      <w:r w:rsidRPr="00F43FCD">
        <w:rPr>
          <w:rFonts w:eastAsia="Times New Roman" w:cstheme="minorHAnsi"/>
          <w:color w:val="000000"/>
          <w:kern w:val="0"/>
          <w14:ligatures w14:val="none"/>
        </w:rPr>
        <w:t xml:space="preserve"> effect immediately upon approval of this Special Resolution by the Members.</w:t>
      </w:r>
      <w:r w:rsidRPr="00F43FCD">
        <w:rPr>
          <w:rFonts w:eastAsia="Times New Roman" w:cstheme="minorHAnsi"/>
          <w:color w:val="000000"/>
          <w:kern w:val="0"/>
          <w14:ligatures w14:val="none"/>
        </w:rPr>
        <w:br/>
      </w:r>
      <w:r w:rsidRPr="00F43FCD">
        <w:rPr>
          <w:rFonts w:eastAsia="Times New Roman" w:cstheme="minorHAnsi"/>
          <w:color w:val="000000"/>
          <w:kern w:val="0"/>
          <w14:ligatures w14:val="none"/>
        </w:rPr>
        <w:br/>
      </w:r>
      <w:r w:rsidRPr="00F43FCD">
        <w:rPr>
          <w:rFonts w:eastAsia="Times New Roman" w:cstheme="minorHAnsi"/>
          <w:b/>
          <w:bCs/>
          <w:color w:val="000000"/>
          <w:kern w:val="0"/>
          <w14:ligatures w14:val="none"/>
        </w:rPr>
        <w:t>Authorization to Implement</w:t>
      </w:r>
      <w:r w:rsidRPr="00F43FCD">
        <w:rPr>
          <w:rFonts w:eastAsia="Times New Roman" w:cstheme="minorHAnsi"/>
          <w:color w:val="000000"/>
          <w:kern w:val="0"/>
          <w14:ligatures w14:val="none"/>
        </w:rPr>
        <w:br/>
        <w:t>Any director or officer is authorized to make any changes necessary to give full effect to this Special Resolution, including updating, consolidating, and filing the amended bylaws and any related documents as required under ONCA.</w:t>
      </w:r>
    </w:p>
    <w:p w14:paraId="5E54AB64" w14:textId="77777777" w:rsidR="002A0274" w:rsidRPr="00161F6D" w:rsidRDefault="00BB5E94" w:rsidP="002A0274">
      <w:pPr>
        <w:spacing w:after="0" w:line="240" w:lineRule="auto"/>
        <w:rPr>
          <w:rFonts w:eastAsia="Times New Roman" w:cstheme="minorHAnsi"/>
          <w:color w:val="000000"/>
          <w:kern w:val="0"/>
          <w14:ligatures w14:val="none"/>
        </w:rPr>
      </w:pPr>
      <w:r>
        <w:rPr>
          <w:noProof/>
        </w:rPr>
      </w:r>
      <w:r>
        <w:pict w14:anchorId="77D4C453">
          <v:rect id="Horizontal Line 1"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713FFB02" w14:textId="2081D4D3" w:rsidR="002A0274" w:rsidRPr="00161F6D" w:rsidRDefault="002A0274" w:rsidP="002A0274">
      <w:pPr>
        <w:spacing w:before="100" w:beforeAutospacing="1" w:after="100" w:afterAutospacing="1" w:line="240" w:lineRule="auto"/>
        <w:outlineLvl w:val="0"/>
        <w:rPr>
          <w:rFonts w:eastAsia="Times New Roman" w:cstheme="minorHAnsi"/>
          <w:b/>
          <w:bCs/>
          <w:color w:val="000000"/>
          <w:kern w:val="36"/>
          <w14:ligatures w14:val="none"/>
        </w:rPr>
      </w:pPr>
      <w:r w:rsidRPr="00161F6D">
        <w:rPr>
          <w:rFonts w:eastAsia="Times New Roman" w:cstheme="minorHAnsi"/>
          <w:b/>
          <w:bCs/>
          <w:color w:val="000000"/>
          <w:kern w:val="36"/>
          <w14:ligatures w14:val="none"/>
        </w:rPr>
        <w:t>Rationale for Members</w:t>
      </w:r>
    </w:p>
    <w:p w14:paraId="3E8D7A35" w14:textId="77777777" w:rsidR="002A0274" w:rsidRPr="00161F6D" w:rsidRDefault="002A0274" w:rsidP="002A0274">
      <w:pPr>
        <w:spacing w:before="100" w:beforeAutospacing="1" w:after="100" w:afterAutospacing="1" w:line="240" w:lineRule="auto"/>
        <w:rPr>
          <w:rFonts w:eastAsia="Times New Roman" w:cstheme="minorHAnsi"/>
          <w:color w:val="000000"/>
          <w:kern w:val="0"/>
          <w14:ligatures w14:val="none"/>
        </w:rPr>
      </w:pPr>
      <w:r w:rsidRPr="00161F6D">
        <w:rPr>
          <w:rFonts w:eastAsia="Times New Roman" w:cstheme="minorHAnsi"/>
          <w:color w:val="000000"/>
          <w:kern w:val="0"/>
          <w14:ligatures w14:val="none"/>
        </w:rPr>
        <w:t>Changing the fiscal year</w:t>
      </w:r>
      <w:r w:rsidRPr="00161F6D">
        <w:rPr>
          <w:rFonts w:eastAsia="Times New Roman" w:cstheme="minorHAnsi"/>
          <w:color w:val="000000"/>
          <w:kern w:val="0"/>
          <w14:ligatures w14:val="none"/>
        </w:rPr>
        <w:noBreakHyphen/>
        <w:t>end to </w:t>
      </w:r>
      <w:r w:rsidRPr="00161F6D">
        <w:rPr>
          <w:rFonts w:eastAsia="Times New Roman" w:cstheme="minorHAnsi"/>
          <w:b/>
          <w:bCs/>
          <w:color w:val="000000"/>
          <w:kern w:val="0"/>
          <w14:ligatures w14:val="none"/>
        </w:rPr>
        <w:t>April 30</w:t>
      </w:r>
      <w:r w:rsidRPr="00161F6D">
        <w:rPr>
          <w:rFonts w:eastAsia="Times New Roman" w:cstheme="minorHAnsi"/>
          <w:color w:val="000000"/>
          <w:kern w:val="0"/>
          <w14:ligatures w14:val="none"/>
        </w:rPr>
        <w:t> will:</w:t>
      </w:r>
    </w:p>
    <w:p w14:paraId="54960E1B" w14:textId="77777777" w:rsidR="002A0274" w:rsidRPr="00161F6D" w:rsidRDefault="002A0274" w:rsidP="002A0274">
      <w:pPr>
        <w:numPr>
          <w:ilvl w:val="0"/>
          <w:numId w:val="1"/>
        </w:numPr>
        <w:spacing w:before="100" w:beforeAutospacing="1" w:after="100" w:afterAutospacing="1" w:line="240" w:lineRule="auto"/>
        <w:rPr>
          <w:rFonts w:eastAsia="Times New Roman" w:cstheme="minorHAnsi"/>
          <w:color w:val="000000"/>
          <w:kern w:val="0"/>
          <w14:ligatures w14:val="none"/>
        </w:rPr>
      </w:pPr>
      <w:r w:rsidRPr="00161F6D">
        <w:rPr>
          <w:rFonts w:eastAsia="Times New Roman" w:cstheme="minorHAnsi"/>
          <w:color w:val="000000"/>
          <w:kern w:val="0"/>
          <w14:ligatures w14:val="none"/>
        </w:rPr>
        <w:t>better align financial reporting with TLCA’s seasonal operations</w:t>
      </w:r>
    </w:p>
    <w:p w14:paraId="1BA80D42" w14:textId="77777777" w:rsidR="002A0274" w:rsidRPr="00161F6D" w:rsidRDefault="002A0274" w:rsidP="008E745D">
      <w:pPr>
        <w:pStyle w:val="li1"/>
        <w:numPr>
          <w:ilvl w:val="0"/>
          <w:numId w:val="1"/>
        </w:numPr>
        <w:rPr>
          <w:rFonts w:asciiTheme="minorHAnsi" w:hAnsiTheme="minorHAnsi" w:cstheme="minorHAnsi"/>
        </w:rPr>
      </w:pPr>
      <w:r w:rsidRPr="00161F6D">
        <w:rPr>
          <w:rStyle w:val="s1"/>
          <w:rFonts w:asciiTheme="minorHAnsi" w:eastAsiaTheme="majorEastAsia" w:hAnsiTheme="minorHAnsi" w:cstheme="minorHAnsi"/>
        </w:rPr>
        <w:lastRenderedPageBreak/>
        <w:t>makes it easier to schedule the AGM when members are at the lake. With a December 31 year</w:t>
      </w:r>
      <w:r w:rsidRPr="00161F6D">
        <w:rPr>
          <w:rStyle w:val="s1"/>
          <w:rFonts w:asciiTheme="minorHAnsi" w:eastAsiaTheme="majorEastAsia" w:hAnsiTheme="minorHAnsi" w:cstheme="minorHAnsi"/>
        </w:rPr>
        <w:noBreakHyphen/>
        <w:t>end, TLCA must hold the AGM by June 30, which often feels rushed and doesn’t always align with member availability. An April 30 year</w:t>
      </w:r>
      <w:r w:rsidRPr="00161F6D">
        <w:rPr>
          <w:rStyle w:val="s1"/>
          <w:rFonts w:asciiTheme="minorHAnsi" w:eastAsiaTheme="majorEastAsia" w:hAnsiTheme="minorHAnsi" w:cstheme="minorHAnsi"/>
        </w:rPr>
        <w:noBreakHyphen/>
        <w:t>end extends the AGM window to October 31, giving us far more flexibility.</w:t>
      </w:r>
    </w:p>
    <w:p w14:paraId="7B6140B2" w14:textId="6027536F" w:rsidR="002A0274" w:rsidRPr="00161F6D" w:rsidRDefault="002A0274" w:rsidP="007E08A0">
      <w:pPr>
        <w:spacing w:before="100" w:beforeAutospacing="1" w:after="100" w:afterAutospacing="1" w:line="240" w:lineRule="auto"/>
        <w:rPr>
          <w:rFonts w:eastAsia="Times New Roman" w:cstheme="minorHAnsi"/>
          <w:color w:val="000000"/>
          <w:kern w:val="0"/>
          <w14:ligatures w14:val="none"/>
        </w:rPr>
      </w:pPr>
    </w:p>
    <w:sectPr w:rsidR="002A0274" w:rsidRPr="00161F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9669" w14:textId="77777777" w:rsidR="00BB5E94" w:rsidRDefault="00BB5E94" w:rsidP="007E08A0">
      <w:pPr>
        <w:spacing w:after="0" w:line="240" w:lineRule="auto"/>
      </w:pPr>
      <w:r>
        <w:separator/>
      </w:r>
    </w:p>
  </w:endnote>
  <w:endnote w:type="continuationSeparator" w:id="0">
    <w:p w14:paraId="4DB959E8" w14:textId="77777777" w:rsidR="00BB5E94" w:rsidRDefault="00BB5E94" w:rsidP="007E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nto Copilot Variable">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7B41" w14:textId="77777777" w:rsidR="007E08A0" w:rsidRDefault="007E0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0678" w14:textId="43530B59" w:rsidR="007E08A0" w:rsidRDefault="007E08A0">
    <w:pPr>
      <w:pStyle w:val="Footer"/>
    </w:pPr>
    <w: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9DEF" w14:textId="77777777" w:rsidR="007E08A0" w:rsidRDefault="007E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6B88" w14:textId="77777777" w:rsidR="00BB5E94" w:rsidRDefault="00BB5E94" w:rsidP="007E08A0">
      <w:pPr>
        <w:spacing w:after="0" w:line="240" w:lineRule="auto"/>
      </w:pPr>
      <w:r>
        <w:separator/>
      </w:r>
    </w:p>
  </w:footnote>
  <w:footnote w:type="continuationSeparator" w:id="0">
    <w:p w14:paraId="7F1ADF08" w14:textId="77777777" w:rsidR="00BB5E94" w:rsidRDefault="00BB5E94" w:rsidP="007E0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65F3" w14:textId="77777777" w:rsidR="007E08A0" w:rsidRDefault="007E0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DF19" w14:textId="1CF37B75" w:rsidR="007E08A0" w:rsidRDefault="007E08A0">
    <w:pPr>
      <w:pStyle w:val="Header"/>
    </w:pPr>
    <w:r>
      <w:t>Trout Lake Campers Association – Sudbury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10BE" w14:textId="77777777" w:rsidR="007E08A0" w:rsidRDefault="007E0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C1E0A"/>
    <w:multiLevelType w:val="multilevel"/>
    <w:tmpl w:val="178E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CD390D"/>
    <w:multiLevelType w:val="multilevel"/>
    <w:tmpl w:val="EE18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53FB1"/>
    <w:multiLevelType w:val="multilevel"/>
    <w:tmpl w:val="455A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102994">
    <w:abstractNumId w:val="2"/>
  </w:num>
  <w:num w:numId="2" w16cid:durableId="1407145671">
    <w:abstractNumId w:val="1"/>
  </w:num>
  <w:num w:numId="3" w16cid:durableId="96863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74"/>
    <w:rsid w:val="00155472"/>
    <w:rsid w:val="00161F6D"/>
    <w:rsid w:val="001A42AE"/>
    <w:rsid w:val="001B54D5"/>
    <w:rsid w:val="00266EB8"/>
    <w:rsid w:val="002A0274"/>
    <w:rsid w:val="0041359C"/>
    <w:rsid w:val="007E08A0"/>
    <w:rsid w:val="008E745D"/>
    <w:rsid w:val="009A36CD"/>
    <w:rsid w:val="00B4734F"/>
    <w:rsid w:val="00BB5E94"/>
    <w:rsid w:val="00CA2AFD"/>
    <w:rsid w:val="00CC13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8407DA"/>
  <w15:chartTrackingRefBased/>
  <w15:docId w15:val="{71D61BC3-A0B8-454C-82B9-434777B7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A0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A0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74"/>
    <w:rPr>
      <w:rFonts w:eastAsiaTheme="majorEastAsia" w:cstheme="majorBidi"/>
      <w:color w:val="272727" w:themeColor="text1" w:themeTint="D8"/>
    </w:rPr>
  </w:style>
  <w:style w:type="paragraph" w:styleId="Title">
    <w:name w:val="Title"/>
    <w:basedOn w:val="Normal"/>
    <w:next w:val="Normal"/>
    <w:link w:val="TitleChar"/>
    <w:uiPriority w:val="10"/>
    <w:qFormat/>
    <w:rsid w:val="002A0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74"/>
    <w:pPr>
      <w:spacing w:before="160"/>
      <w:jc w:val="center"/>
    </w:pPr>
    <w:rPr>
      <w:i/>
      <w:iCs/>
      <w:color w:val="404040" w:themeColor="text1" w:themeTint="BF"/>
    </w:rPr>
  </w:style>
  <w:style w:type="character" w:customStyle="1" w:styleId="QuoteChar">
    <w:name w:val="Quote Char"/>
    <w:basedOn w:val="DefaultParagraphFont"/>
    <w:link w:val="Quote"/>
    <w:uiPriority w:val="29"/>
    <w:rsid w:val="002A0274"/>
    <w:rPr>
      <w:i/>
      <w:iCs/>
      <w:color w:val="404040" w:themeColor="text1" w:themeTint="BF"/>
    </w:rPr>
  </w:style>
  <w:style w:type="paragraph" w:styleId="ListParagraph">
    <w:name w:val="List Paragraph"/>
    <w:basedOn w:val="Normal"/>
    <w:uiPriority w:val="34"/>
    <w:qFormat/>
    <w:rsid w:val="002A0274"/>
    <w:pPr>
      <w:ind w:left="720"/>
      <w:contextualSpacing/>
    </w:pPr>
  </w:style>
  <w:style w:type="character" w:styleId="IntenseEmphasis">
    <w:name w:val="Intense Emphasis"/>
    <w:basedOn w:val="DefaultParagraphFont"/>
    <w:uiPriority w:val="21"/>
    <w:qFormat/>
    <w:rsid w:val="002A0274"/>
    <w:rPr>
      <w:i/>
      <w:iCs/>
      <w:color w:val="2F5496" w:themeColor="accent1" w:themeShade="BF"/>
    </w:rPr>
  </w:style>
  <w:style w:type="paragraph" w:styleId="IntenseQuote">
    <w:name w:val="Intense Quote"/>
    <w:basedOn w:val="Normal"/>
    <w:next w:val="Normal"/>
    <w:link w:val="IntenseQuoteChar"/>
    <w:uiPriority w:val="30"/>
    <w:qFormat/>
    <w:rsid w:val="002A0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274"/>
    <w:rPr>
      <w:i/>
      <w:iCs/>
      <w:color w:val="2F5496" w:themeColor="accent1" w:themeShade="BF"/>
    </w:rPr>
  </w:style>
  <w:style w:type="character" w:styleId="IntenseReference">
    <w:name w:val="Intense Reference"/>
    <w:basedOn w:val="DefaultParagraphFont"/>
    <w:uiPriority w:val="32"/>
    <w:qFormat/>
    <w:rsid w:val="002A0274"/>
    <w:rPr>
      <w:b/>
      <w:bCs/>
      <w:smallCaps/>
      <w:color w:val="2F5496" w:themeColor="accent1" w:themeShade="BF"/>
      <w:spacing w:val="5"/>
    </w:rPr>
  </w:style>
  <w:style w:type="paragraph" w:styleId="NormalWeb">
    <w:name w:val="Normal (Web)"/>
    <w:basedOn w:val="Normal"/>
    <w:uiPriority w:val="99"/>
    <w:semiHidden/>
    <w:unhideWhenUsed/>
    <w:rsid w:val="002A02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A0274"/>
  </w:style>
  <w:style w:type="character" w:styleId="Strong">
    <w:name w:val="Strong"/>
    <w:basedOn w:val="DefaultParagraphFont"/>
    <w:uiPriority w:val="22"/>
    <w:qFormat/>
    <w:rsid w:val="002A0274"/>
    <w:rPr>
      <w:b/>
      <w:bCs/>
    </w:rPr>
  </w:style>
  <w:style w:type="character" w:styleId="Emphasis">
    <w:name w:val="Emphasis"/>
    <w:basedOn w:val="DefaultParagraphFont"/>
    <w:uiPriority w:val="20"/>
    <w:qFormat/>
    <w:rsid w:val="002A0274"/>
    <w:rPr>
      <w:i/>
      <w:iCs/>
    </w:rPr>
  </w:style>
  <w:style w:type="character" w:customStyle="1" w:styleId="s1">
    <w:name w:val="s1"/>
    <w:basedOn w:val="DefaultParagraphFont"/>
    <w:rsid w:val="002A0274"/>
    <w:rPr>
      <w:spacing w:val="2"/>
    </w:rPr>
  </w:style>
  <w:style w:type="paragraph" w:customStyle="1" w:styleId="li1">
    <w:name w:val="li1"/>
    <w:basedOn w:val="Normal"/>
    <w:rsid w:val="002A0274"/>
    <w:pPr>
      <w:spacing w:before="60" w:after="210" w:line="240" w:lineRule="auto"/>
    </w:pPr>
    <w:rPr>
      <w:rFonts w:ascii="Ginto Copilot Variable" w:eastAsia="Times New Roman" w:hAnsi="Ginto Copilot Variable" w:cs="Times New Roman"/>
      <w:color w:val="26221F"/>
      <w:kern w:val="0"/>
      <w:sz w:val="23"/>
      <w:szCs w:val="23"/>
      <w14:ligatures w14:val="none"/>
    </w:rPr>
  </w:style>
  <w:style w:type="paragraph" w:styleId="Header">
    <w:name w:val="header"/>
    <w:basedOn w:val="Normal"/>
    <w:link w:val="HeaderChar"/>
    <w:uiPriority w:val="99"/>
    <w:unhideWhenUsed/>
    <w:rsid w:val="007E0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A0"/>
  </w:style>
  <w:style w:type="paragraph" w:styleId="Footer">
    <w:name w:val="footer"/>
    <w:basedOn w:val="Normal"/>
    <w:link w:val="FooterChar"/>
    <w:uiPriority w:val="99"/>
    <w:unhideWhenUsed/>
    <w:rsid w:val="007E0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2</cp:revision>
  <dcterms:created xsi:type="dcterms:W3CDTF">2026-04-22T22:12:00Z</dcterms:created>
  <dcterms:modified xsi:type="dcterms:W3CDTF">2026-04-22T22:12:00Z</dcterms:modified>
</cp:coreProperties>
</file>